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综合评分表</w:t>
      </w:r>
    </w:p>
    <w:tbl>
      <w:tblPr>
        <w:tblStyle w:val="5"/>
        <w:tblW w:w="10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720"/>
        <w:gridCol w:w="600"/>
        <w:gridCol w:w="900"/>
        <w:gridCol w:w="451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分值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评分内容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评分办法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投标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报价</w:t>
            </w:r>
          </w:p>
          <w:p>
            <w:pPr>
              <w:pStyle w:val="2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szCs w:val="21"/>
                <w:lang w:eastAsia="zh-CN"/>
              </w:rPr>
              <w:t>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投标报价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ind w:right="1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最低投标报价得满分10分，其他投标人报价得分= Hn÷H ×10，其中H：各投标人报价 即有效投标报价；Hn:评标基准价即实质性响应招标公告的最低报价。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right="120" w:hanging="1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不得大于最高投标限价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szCs w:val="21"/>
              </w:rPr>
              <w:t>0,000.00元,投标报价高于最高投标限价的，按无效投标处理。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9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技术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商务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  <w:t>（90分）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Cs w:val="21"/>
              </w:rPr>
              <w:t>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ind w:right="12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律所及服务团队荣誉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律所</w:t>
            </w:r>
          </w:p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荣誉</w:t>
            </w:r>
          </w:p>
          <w:p>
            <w:pPr>
              <w:ind w:right="12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(4分)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1.曾获得国家级“优秀律师事务所”称号的，得2分；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2.曾获得省级“优秀律师事务所”称号的，得1分；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3.曾获得市级“优秀律师事务所”称号的，得0.5分；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4.获得“规范律师事务所”称号的，得0.5分；</w:t>
            </w:r>
          </w:p>
          <w:p>
            <w:pPr>
              <w:ind w:right="120" w:firstLine="420" w:firstLineChars="200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荣誉称号颁发单位为“司法局”或“律师协会”方能得分，其他颁发单位的不得分；同一级别奖项，不分年限只计分1次，不同级别/类型奖项得分可叠加计分，本项最高得4分。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ind w:right="120" w:hanging="1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提供相关荣誉证明扫描件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及其他证明材料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证明材料需能体现授予单位/人员及颁发单位信息等，</w:t>
            </w:r>
            <w:r>
              <w:rPr>
                <w:rFonts w:hint="eastAsia" w:ascii="仿宋" w:hAnsi="仿宋" w:eastAsia="仿宋" w:cs="仿宋"/>
                <w:szCs w:val="21"/>
              </w:rPr>
              <w:t>如未提供证明材料，或所提供的证明材料未能体现上述评分内容的，视为该证明材料无效。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</w:rPr>
              <w:t>服务团队</w:t>
            </w: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荣誉</w:t>
            </w:r>
          </w:p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(4分</w:t>
            </w:r>
            <w:r>
              <w:rPr>
                <w:rFonts w:hint="eastAsia" w:ascii="仿宋" w:hAnsi="仿宋" w:eastAsia="仿宋" w:cs="仿宋"/>
                <w:b w:val="0"/>
                <w:szCs w:val="21"/>
                <w:lang w:eastAsia="zh-CN"/>
              </w:rPr>
              <w:t>)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团队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人员曾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获得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与物业经营与管理相关的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“业务成果奖”的得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2.团队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人员曾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获得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非物业经营与管理相关的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“业务成果奖”得1分；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荣誉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奖项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颁发单位为“</w:t>
            </w:r>
            <w:r>
              <w:rPr>
                <w:rFonts w:hint="eastAsia" w:ascii="仿宋" w:hAnsi="仿宋" w:eastAsia="仿宋" w:cs="仿宋"/>
                <w:szCs w:val="21"/>
              </w:rPr>
              <w:t>司法局”或“律师协会”方能得分，其他颁发单位的不得分；各成员获奖可叠加计分，同一事项奖项只计分1次，本项最高得3分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ind w:right="120" w:hanging="1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56分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</w:pPr>
          </w:p>
          <w:p>
            <w:pPr>
              <w:ind w:right="120"/>
              <w:jc w:val="center"/>
              <w:rPr>
                <w:rFonts w:hint="default" w:ascii="仿宋" w:hAnsi="仿宋" w:eastAsia="仿宋" w:cs="仿宋"/>
                <w:b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服务团队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主办律师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  <w:p>
            <w:pPr>
              <w:pStyle w:val="2"/>
              <w:rPr>
                <w:rFonts w:hint="default" w:eastAsia="仿宋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(20分)</w:t>
            </w:r>
          </w:p>
        </w:tc>
        <w:tc>
          <w:tcPr>
            <w:tcW w:w="4515" w:type="dxa"/>
            <w:vMerge w:val="restart"/>
            <w:noWrap w:val="0"/>
            <w:vAlign w:val="center"/>
          </w:tcPr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1.执业年限：累计执业年限，按0.5分/年计算，本项最高得分为5分；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2.业绩情况：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Cs w:val="21"/>
              </w:rPr>
              <w:t>自2018年1月1日以来，作为团队成员，提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供与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物业经营与管理相关的专项或常年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法律服务案例的，每项业绩得1分，本项最高得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分；</w:t>
            </w:r>
          </w:p>
          <w:p>
            <w:pPr>
              <w:pStyle w:val="2"/>
              <w:ind w:firstLine="400" w:firstLineChars="200"/>
              <w:rPr>
                <w:rFonts w:hint="eastAsia" w:eastAsia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2）自2018年1月1日以来，作为团队成员，提供与物业经营与管理相关的诉讼服务案例的，每项业绩得0.5分，本项最高得5分；</w:t>
            </w:r>
          </w:p>
          <w:p>
            <w:pPr>
              <w:ind w:right="120" w:firstLine="420" w:firstLineChars="20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业绩确认时间以合同签订时间或中标通知书时间为准，群体性案件或批量案件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及同类型案件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只算一项业绩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685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12"/>
              </w:tabs>
              <w:ind w:right="1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拟派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律师需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  <w:t>取得律师执业证（须年检合格并在有效期内）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并具备物业经营与管理相关的</w:t>
            </w:r>
            <w:r>
              <w:rPr>
                <w:rFonts w:hint="eastAsia" w:ascii="仿宋" w:hAnsi="仿宋" w:eastAsia="仿宋" w:cs="仿宋"/>
                <w:szCs w:val="21"/>
              </w:rPr>
              <w:t>法律服务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经验。若不满足，按无效投标处理。</w:t>
            </w:r>
          </w:p>
          <w:p>
            <w:pPr>
              <w:ind w:right="1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2.提供相关证明材料（包含但不限于执业证书、国家政务服务平台律师查询详情截图、合同关键信息等），合同关键信息页包括但不限于：合同名称、主要内容、委派律师信息、签订日期、合同双方签字盖章等；</w:t>
            </w:r>
          </w:p>
          <w:p>
            <w:pPr>
              <w:numPr>
                <w:ilvl w:val="0"/>
                <w:numId w:val="0"/>
              </w:numPr>
              <w:ind w:right="120" w:firstLine="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3.证明文件作为得分依据。未按要求提供导致无法识别的不得分。</w:t>
            </w:r>
          </w:p>
          <w:p>
            <w:pPr>
              <w:numPr>
                <w:ilvl w:val="0"/>
                <w:numId w:val="0"/>
              </w:numPr>
              <w:ind w:right="12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物业经营与管理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服务案例是指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  <w:t>与物业出租、出售、运营、招商、推广、维修改造、资产评估、拆迁户管理、物业管理等相关的服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务案例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default" w:ascii="仿宋" w:hAnsi="仿宋" w:eastAsia="仿宋" w:cs="仿宋"/>
                <w:b w:val="0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主办律师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  <w:p>
            <w:pPr>
              <w:pStyle w:val="2"/>
              <w:rPr>
                <w:rFonts w:hint="default" w:ascii="仿宋" w:hAnsi="仿宋" w:eastAsia="仿宋" w:cs="仿宋"/>
                <w:b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(20分)</w:t>
            </w:r>
          </w:p>
        </w:tc>
        <w:tc>
          <w:tcPr>
            <w:tcW w:w="4515" w:type="dxa"/>
            <w:vMerge w:val="continue"/>
            <w:noWrap w:val="0"/>
            <w:vAlign w:val="center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ind w:right="120" w:hanging="1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default" w:ascii="仿宋" w:hAnsi="仿宋" w:eastAsia="仿宋" w:cs="仿宋"/>
                <w:b w:val="0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驻场律师</w:t>
            </w:r>
          </w:p>
          <w:p>
            <w:pPr>
              <w:ind w:right="120" w:rightChars="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(6分)</w:t>
            </w:r>
          </w:p>
        </w:tc>
        <w:tc>
          <w:tcPr>
            <w:tcW w:w="4515" w:type="dxa"/>
            <w:noWrap w:val="0"/>
            <w:vAlign w:val="center"/>
          </w:tcPr>
          <w:p>
            <w:pPr>
              <w:ind w:right="0" w:firstLine="420" w:firstLineChars="20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Cs w:val="21"/>
              </w:rPr>
              <w:t>执业年限：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以上的得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分，5年（含）-3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（含）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年的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得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2分，3年以下的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不得分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；</w:t>
            </w:r>
          </w:p>
          <w:p>
            <w:pPr>
              <w:ind w:right="0" w:rightChars="0"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2.驻场律师为本项目主办律师的另得3分，其他不得分。</w:t>
            </w:r>
          </w:p>
        </w:tc>
        <w:tc>
          <w:tcPr>
            <w:tcW w:w="268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right="120" w:firstLine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/>
              <w:snapToGrid/>
              <w:ind w:right="120"/>
              <w:jc w:val="center"/>
              <w:rPr>
                <w:rFonts w:hint="default" w:ascii="仿宋" w:hAnsi="仿宋" w:eastAsia="仿宋" w:cs="仿宋"/>
                <w:b w:val="0"/>
                <w:szCs w:val="21"/>
                <w:lang w:val="en-US" w:eastAsia="zh-CN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right="12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律师团队综合评价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Cs w:val="21"/>
                <w:lang w:val="en-US" w:eastAsia="zh-CN"/>
              </w:rPr>
              <w:t>(10分)</w:t>
            </w:r>
          </w:p>
          <w:p>
            <w:pPr>
              <w:ind w:right="120"/>
              <w:jc w:val="center"/>
              <w:rPr>
                <w:rFonts w:hint="eastAsia" w:ascii="仿宋" w:hAnsi="仿宋" w:eastAsia="仿宋" w:cs="仿宋"/>
                <w:b w:val="0"/>
                <w:szCs w:val="21"/>
              </w:rPr>
            </w:pPr>
          </w:p>
        </w:tc>
        <w:tc>
          <w:tcPr>
            <w:tcW w:w="4515" w:type="dxa"/>
            <w:noWrap w:val="0"/>
            <w:vAlign w:val="center"/>
          </w:tcPr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律师团队</w:t>
            </w:r>
            <w:r>
              <w:rPr>
                <w:rFonts w:hint="eastAsia" w:ascii="仿宋" w:hAnsi="仿宋" w:eastAsia="仿宋" w:cs="仿宋"/>
                <w:szCs w:val="21"/>
              </w:rPr>
              <w:t>成员的学历、执业年限、业务专长、荣誉等方面综合考量：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1.人员配置合理，整体素质及专业匹配度高，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分；</w:t>
            </w:r>
          </w:p>
          <w:p>
            <w:pPr>
              <w:ind w:right="120"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2.人员配置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较合理</w:t>
            </w:r>
            <w:r>
              <w:rPr>
                <w:rFonts w:hint="eastAsia" w:ascii="仿宋" w:hAnsi="仿宋" w:eastAsia="仿宋" w:cs="仿宋"/>
                <w:szCs w:val="21"/>
              </w:rPr>
              <w:t>，整体素质及专业匹配度较好，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分；</w:t>
            </w:r>
          </w:p>
          <w:p>
            <w:pPr>
              <w:ind w:right="120"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3.人员配置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基本满足</w:t>
            </w:r>
            <w:r>
              <w:rPr>
                <w:rFonts w:hint="eastAsia" w:ascii="仿宋" w:hAnsi="仿宋" w:eastAsia="仿宋" w:cs="仿宋"/>
                <w:szCs w:val="21"/>
              </w:rPr>
              <w:t>，整体素质及专业匹配度不足，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right="120" w:firstLine="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1.提供律师简介，</w:t>
            </w:r>
          </w:p>
          <w:p>
            <w:pPr>
              <w:numPr>
                <w:ilvl w:val="0"/>
                <w:numId w:val="0"/>
              </w:numPr>
              <w:ind w:right="120" w:firstLine="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2.提供学历证书，执业证书及荣誉证书证明材料。</w:t>
            </w:r>
          </w:p>
          <w:p>
            <w:pPr>
              <w:numPr>
                <w:ilvl w:val="0"/>
                <w:numId w:val="0"/>
              </w:numPr>
              <w:ind w:right="120" w:firstLine="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3.证明文件作为得分依据。未按要求提供导致无法识别的不得分。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服务方案</w:t>
            </w: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pStyle w:val="2"/>
              <w:ind w:firstLine="420" w:firstLineChars="20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针对本项目的需求制定项目服务方案，内容包括但不限于：</w:t>
            </w:r>
          </w:p>
          <w:p>
            <w:pPr>
              <w:pStyle w:val="2"/>
              <w:ind w:firstLine="420" w:firstLineChars="20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1.对本项目背景及服务内容的认识与理解，优秀得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分、良好得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分、一般得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分；</w:t>
            </w:r>
          </w:p>
          <w:p>
            <w:pPr>
              <w:pStyle w:val="2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2.团队的特色服务，包括服务方式、服务内容、工作方法等，优秀得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分、良好得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分、一般得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100分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ind w:right="12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widowControl/>
        <w:tabs>
          <w:tab w:val="left" w:pos="1365"/>
        </w:tabs>
        <w:spacing w:line="360" w:lineRule="auto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02" w:right="128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9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4309149A"/>
    <w:rsid w:val="430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2023-04-13T04:11:00Z</dcterms:created>
  <dc:creator>shexe</dc:creator>
  <cp:lastModifiedBy>shexe</cp:lastModifiedBy>
  <dcterms:modified xsi:type="dcterms:W3CDTF">2023-04-13T04:11:35Z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35E5D2A7F8C4403BBCCD3B3AE624845A</vt:lpwstr>
  </property>
</Properties>
</file>